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10" w:rsidRDefault="007F6510">
      <w:bookmarkStart w:id="0" w:name="_GoBack"/>
      <w:bookmarkEnd w:id="0"/>
    </w:p>
    <w:p w:rsidR="007F6510" w:rsidRDefault="007F65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3.3pt;width:475.2pt;height:23.3pt;z-index:251646464" o:allowincell="f">
            <v:textbox style="mso-next-textbox:#_x0000_s1026">
              <w:txbxContent>
                <w:p w:rsidR="007F6510" w:rsidRDefault="007F651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Establish the type of enterprise in point - 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CIRD91500</w:t>
                  </w:r>
                </w:p>
              </w:txbxContent>
            </v:textbox>
          </v:shape>
        </w:pict>
      </w:r>
    </w:p>
    <w:p w:rsidR="007F6510" w:rsidRDefault="007F6510"/>
    <w:p w:rsidR="007F6510" w:rsidRDefault="007F6510">
      <w:r>
        <w:rPr>
          <w:noProof/>
        </w:rPr>
        <w:pict>
          <v:line id="_x0000_s1039" style="position:absolute;z-index:251658752" from="414pt,3.6pt" to="414pt,32.4pt" o:allowincell="f">
            <v:stroke endarrow="block"/>
          </v:line>
        </w:pict>
      </w:r>
      <w:r>
        <w:rPr>
          <w:noProof/>
        </w:rPr>
        <w:pict>
          <v:line id="_x0000_s1038" style="position:absolute;z-index:251657728" from="68.4pt,3.6pt" to="68.4pt,32.4pt" o:allowincell="f">
            <v:stroke endarrow="block"/>
          </v:line>
        </w:pict>
      </w:r>
      <w:r>
        <w:rPr>
          <w:noProof/>
        </w:rPr>
        <w:pict>
          <v:line id="_x0000_s1040" style="position:absolute;z-index:251659776" from="255.6pt,3.6pt" to="255.6pt,32.4pt" o:allowincell="f">
            <v:stroke endarrow="block"/>
          </v:line>
        </w:pict>
      </w:r>
    </w:p>
    <w:p w:rsidR="007F6510" w:rsidRDefault="007F6510"/>
    <w:p w:rsidR="007F6510" w:rsidRDefault="007F6510">
      <w:r>
        <w:rPr>
          <w:noProof/>
        </w:rPr>
        <w:pict>
          <v:shape id="_x0000_s1028" type="#_x0000_t202" style="position:absolute;margin-left:212.4pt;margin-top:7.4pt;width:100.8pt;height:108pt;z-index:251648512" o:allowincell="f">
            <v:textbox>
              <w:txbxContent>
                <w:p w:rsidR="007F6510" w:rsidRDefault="007F6510">
                  <w:pPr>
                    <w:rPr>
                      <w:rStyle w:val="Emphasis"/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If the enterprise is controlled by, or controls other enterprises it is likely to be a </w:t>
                  </w:r>
                  <w:r>
                    <w:rPr>
                      <w:rStyle w:val="Emphasis"/>
                      <w:rFonts w:ascii="Arial" w:hAnsi="Arial"/>
                    </w:rPr>
                    <w:t xml:space="preserve">linked enterprise </w:t>
                  </w:r>
                  <w:r>
                    <w:rPr>
                      <w:rFonts w:ascii="Arial" w:hAnsi="Arial"/>
                    </w:rPr>
                    <w:t>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CIRD91600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.6pt;margin-top:6.5pt;width:2in;height:67.7pt;z-index:251647488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If the enterprise is owned and operated independently of other businesses it is likely to be an </w:t>
                  </w:r>
                  <w:r>
                    <w:rPr>
                      <w:rStyle w:val="Emphasis"/>
                      <w:rFonts w:ascii="Arial" w:hAnsi="Arial"/>
                    </w:rPr>
                    <w:t>autonomous enterprise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2pt;margin-top:6.5pt;width:129.6pt;height:108pt;z-index:251649536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If 25% or more of the enterprise is owned by another, or if the enterprise owns 25% or more of another it is likely to be a </w:t>
                  </w:r>
                  <w:r>
                    <w:rPr>
                      <w:rStyle w:val="Emphasis"/>
                      <w:rFonts w:ascii="Arial" w:hAnsi="Arial"/>
                    </w:rPr>
                    <w:t xml:space="preserve">partner enterprise </w:t>
                  </w:r>
                  <w:r>
                    <w:rPr>
                      <w:rFonts w:ascii="Arial" w:hAnsi="Arial"/>
                    </w:rPr>
                    <w:t>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CIRD91700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</v:shape>
        </w:pict>
      </w:r>
    </w:p>
    <w:p w:rsidR="007F6510" w:rsidRDefault="007F6510"/>
    <w:p w:rsidR="007F6510" w:rsidRDefault="007F6510"/>
    <w:p w:rsidR="007F6510" w:rsidRDefault="007F6510"/>
    <w:p w:rsidR="007F6510" w:rsidRDefault="007F6510"/>
    <w:p w:rsidR="007F6510" w:rsidRDefault="007F6510"/>
    <w:p w:rsidR="007F6510" w:rsidRDefault="007F6510">
      <w:r>
        <w:rPr>
          <w:noProof/>
        </w:rPr>
        <w:pict>
          <v:line id="_x0000_s1042" style="position:absolute;z-index:251660800" from="68.4pt,7.45pt" to="68.4pt,295.45pt" o:allowincell="f">
            <v:stroke endarrow="block"/>
          </v:line>
        </w:pict>
      </w:r>
    </w:p>
    <w:p w:rsidR="007F6510" w:rsidRDefault="007F6510"/>
    <w:p w:rsidR="007F6510" w:rsidRDefault="007F6510"/>
    <w:p w:rsidR="007F6510" w:rsidRDefault="007F6510"/>
    <w:p w:rsidR="007F6510" w:rsidRDefault="007F6510">
      <w:r>
        <w:rPr>
          <w:noProof/>
        </w:rPr>
        <w:pict>
          <v:line id="_x0000_s1043" style="position:absolute;z-index:251661824" from="255.6pt,2.4pt" to="255.6pt,52.8pt" o:allowincell="f">
            <v:stroke endarrow="block"/>
          </v:line>
        </w:pict>
      </w:r>
      <w:r>
        <w:rPr>
          <w:noProof/>
        </w:rPr>
        <w:pict>
          <v:line id="_x0000_s1045" style="position:absolute;z-index:251663872" from="406.8pt,2.4pt" to="406.8pt,52.8pt" o:allowincell="f">
            <v:stroke endarrow="block"/>
          </v:line>
        </w:pict>
      </w:r>
    </w:p>
    <w:p w:rsidR="007F6510" w:rsidRDefault="007F6510"/>
    <w:p w:rsidR="007F6510" w:rsidRDefault="007F6510"/>
    <w:p w:rsidR="007F6510" w:rsidRDefault="007F6510"/>
    <w:p w:rsidR="007F6510" w:rsidRDefault="007F6510">
      <w:r>
        <w:rPr>
          <w:noProof/>
        </w:rPr>
        <w:pict>
          <v:rect id="_x0000_s1030" style="position:absolute;margin-left:212.4pt;margin-top:6.8pt;width:259.2pt;height:36pt;z-index:251650560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If more than 25% of the enterprise is owned by a public body it probably will not be a SME 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CIRD91700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</v:rect>
        </w:pict>
      </w:r>
    </w:p>
    <w:p w:rsidR="007F6510" w:rsidRDefault="007F6510"/>
    <w:p w:rsidR="007F6510" w:rsidRDefault="007F6510"/>
    <w:p w:rsidR="007F6510" w:rsidRDefault="007F6510">
      <w:r>
        <w:rPr>
          <w:noProof/>
        </w:rPr>
        <w:pict>
          <v:line id="_x0000_s1050" style="position:absolute;z-index:251668992" from="406.8pt,8.35pt" to="406.8pt,44.35pt" o:allowincell="f">
            <v:stroke endarrow="block"/>
          </v:line>
        </w:pict>
      </w:r>
      <w:r>
        <w:rPr>
          <w:noProof/>
        </w:rPr>
        <w:pict>
          <v:line id="_x0000_s1044" style="position:absolute;z-index:251662848" from="255.6pt,8.35pt" to="255.6pt,44.35pt" o:allowincell="f">
            <v:stroke endarrow="block"/>
          </v:line>
        </w:pict>
      </w:r>
    </w:p>
    <w:p w:rsidR="007F6510" w:rsidRDefault="007F6510"/>
    <w:p w:rsidR="007F6510" w:rsidRDefault="007F6510"/>
    <w:p w:rsidR="007F6510" w:rsidRDefault="007F6510">
      <w:r>
        <w:rPr>
          <w:noProof/>
        </w:rPr>
        <w:pict>
          <v:shape id="_x0000_s1032" type="#_x0000_t202" style="position:absolute;margin-left:349.2pt;margin-top:9.85pt;width:122.4pt;height:79.2pt;z-index:251652608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Aggregate accounts data from all partner enterprises in proportion to interest held 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CIRD91500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2.4pt;margin-top:9.85pt;width:108pt;height:79.2pt;z-index:251651584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Aggregate accounts data from all linked enterprises 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CIRD91500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</v:shape>
        </w:pict>
      </w:r>
    </w:p>
    <w:p w:rsidR="007F6510" w:rsidRDefault="007F6510"/>
    <w:p w:rsidR="007F6510" w:rsidRDefault="007F6510"/>
    <w:p w:rsidR="007F6510" w:rsidRDefault="007F6510"/>
    <w:p w:rsidR="007F6510" w:rsidRDefault="007F6510"/>
    <w:p w:rsidR="007F6510" w:rsidRDefault="007F6510"/>
    <w:p w:rsidR="007F6510" w:rsidRDefault="007F6510"/>
    <w:p w:rsidR="007F6510" w:rsidRDefault="007F6510">
      <w:r>
        <w:rPr>
          <w:noProof/>
        </w:rPr>
        <w:pict>
          <v:line id="_x0000_s1047" style="position:absolute;z-index:251665920" from="255.6pt,8.55pt" to="255.6pt,51.75pt" o:allowincell="f">
            <v:stroke endarrow="block"/>
          </v:line>
        </w:pict>
      </w:r>
      <w:r>
        <w:rPr>
          <w:noProof/>
        </w:rPr>
        <w:pict>
          <v:line id="_x0000_s1048" style="position:absolute;z-index:251666944" from="406.8pt,8.55pt" to="406.8pt,51.75pt" o:allowincell="f">
            <v:stroke endarrow="block"/>
          </v:line>
        </w:pict>
      </w:r>
    </w:p>
    <w:p w:rsidR="007F6510" w:rsidRDefault="007F6510">
      <w:r>
        <w:rPr>
          <w:noProof/>
        </w:rPr>
        <w:pict>
          <v:line id="_x0000_s1046" style="position:absolute;z-index:251664896" from="334.8pt,76.25pt" to="334.8pt,128.9pt" o:allowincell="f">
            <v:stroke endarrow="block"/>
          </v:line>
        </w:pict>
      </w:r>
      <w:r>
        <w:rPr>
          <w:noProof/>
        </w:rPr>
        <w:pict>
          <v:shape id="_x0000_s1034" type="#_x0000_t202" style="position:absolute;margin-left:212.4pt;margin-top:128.9pt;width:273.6pt;height:50.4pt;z-index:251654656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Apply the </w:t>
                  </w:r>
                  <w:r>
                    <w:rPr>
                      <w:rStyle w:val="Emphasis"/>
                      <w:rFonts w:ascii="Arial" w:hAnsi="Arial"/>
                    </w:rPr>
                    <w:t>turnover</w:t>
                  </w:r>
                  <w:r>
                    <w:rPr>
                      <w:rFonts w:ascii="Arial" w:hAnsi="Arial"/>
                    </w:rPr>
                    <w:t xml:space="preserve"> and </w:t>
                  </w:r>
                  <w:r>
                    <w:rPr>
                      <w:rStyle w:val="Emphasis"/>
                      <w:rFonts w:ascii="Arial" w:hAnsi="Arial"/>
                    </w:rPr>
                    <w:t>balance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Style w:val="Emphasis"/>
                      <w:rFonts w:ascii="Arial" w:hAnsi="Arial"/>
                    </w:rPr>
                    <w:t>sheet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Style w:val="Emphasis"/>
                      <w:rFonts w:ascii="Arial" w:hAnsi="Arial"/>
                    </w:rPr>
                    <w:t>total</w:t>
                  </w:r>
                  <w:r>
                    <w:rPr>
                      <w:rFonts w:ascii="Arial" w:hAnsi="Arial"/>
                    </w:rPr>
                    <w:t xml:space="preserve"> ceiling tests  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CIRD91400</w:t>
                  </w:r>
                  <w:r>
                    <w:rPr>
                      <w:rFonts w:ascii="Arial" w:hAnsi="Arial"/>
                    </w:rPr>
                    <w:t>) to the aggregated data.  It must pass at least one of these two tests to fall with a SME category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51667968" from="68.4pt,100.1pt" to="68.4pt,128.9pt" o:allowincell="f">
            <v:stroke endarrow="block"/>
          </v:line>
        </w:pict>
      </w:r>
      <w:r>
        <w:rPr>
          <w:noProof/>
        </w:rPr>
        <w:pict>
          <v:shape id="_x0000_s1036" type="#_x0000_t202" style="position:absolute;margin-left:-3.6pt;margin-top:128.9pt;width:158.4pt;height:76.1pt;z-index:251656704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Apply the </w:t>
                  </w:r>
                  <w:r>
                    <w:rPr>
                      <w:rStyle w:val="Emphasis"/>
                      <w:rFonts w:ascii="Arial" w:hAnsi="Arial"/>
                    </w:rPr>
                    <w:t>turnover</w:t>
                  </w:r>
                  <w:r>
                    <w:rPr>
                      <w:rFonts w:ascii="Arial" w:hAnsi="Arial"/>
                    </w:rPr>
                    <w:t xml:space="preserve"> and </w:t>
                  </w:r>
                  <w:r>
                    <w:rPr>
                      <w:rStyle w:val="Emphasis"/>
                      <w:rFonts w:ascii="Arial" w:hAnsi="Arial"/>
                    </w:rPr>
                    <w:t>balance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Style w:val="Emphasis"/>
                      <w:rFonts w:ascii="Arial" w:hAnsi="Arial"/>
                    </w:rPr>
                    <w:t>sheet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Style w:val="Emphasis"/>
                      <w:rFonts w:ascii="Arial" w:hAnsi="Arial"/>
                    </w:rPr>
                    <w:t>total</w:t>
                  </w:r>
                  <w:r>
                    <w:rPr>
                      <w:rFonts w:ascii="Arial" w:hAnsi="Arial"/>
                    </w:rPr>
                    <w:t xml:space="preserve"> ceiling tests 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CIRD91400</w:t>
                  </w:r>
                  <w:r>
                    <w:rPr>
                      <w:rFonts w:ascii="Arial" w:hAnsi="Arial"/>
                    </w:rPr>
                    <w:t>) to the enterprise’s data.  It must pass at least one of these two tests to fall with a SME category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.6pt;margin-top:42.5pt;width:158.4pt;height:55.55pt;flip:y;z-index:251655680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Apply the </w:t>
                  </w:r>
                  <w:r>
                    <w:rPr>
                      <w:rStyle w:val="Emphasis"/>
                      <w:rFonts w:ascii="Arial" w:hAnsi="Arial"/>
                    </w:rPr>
                    <w:t xml:space="preserve">staff headcount </w:t>
                  </w:r>
                  <w:r>
                    <w:rPr>
                      <w:rFonts w:ascii="Arial" w:hAnsi="Arial"/>
                    </w:rPr>
                    <w:t>ceiling test to the enterprise’s data 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CIRD91400</w:t>
                  </w:r>
                  <w:r>
                    <w:rPr>
                      <w:rFonts w:ascii="Arial" w:hAnsi="Arial"/>
                    </w:rPr>
                    <w:t>).  If it fails this test it is not a SME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12.4pt;margin-top:40.25pt;width:273.6pt;height:36pt;z-index:251653632" o:allowincell="f">
            <v:textbox>
              <w:txbxContent>
                <w:p w:rsidR="007F6510" w:rsidRDefault="007F651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Apply the </w:t>
                  </w:r>
                  <w:r>
                    <w:rPr>
                      <w:rStyle w:val="Emphasis"/>
                      <w:rFonts w:ascii="Arial" w:hAnsi="Arial"/>
                    </w:rPr>
                    <w:t>staff  headcount</w:t>
                  </w:r>
                  <w:r>
                    <w:rPr>
                      <w:rFonts w:ascii="Arial" w:hAnsi="Arial"/>
                    </w:rPr>
                    <w:t xml:space="preserve"> ceiling test to the aggregated data (</w:t>
                  </w:r>
                  <w:r>
                    <w:rPr>
                      <w:rStyle w:val="Hyperlink"/>
                      <w:b/>
                      <w:color w:val="auto"/>
                      <w:u w:val="none"/>
                    </w:rPr>
                    <w:t>CIRD91400</w:t>
                  </w:r>
                  <w:r>
                    <w:rPr>
                      <w:rFonts w:ascii="Arial" w:hAnsi="Arial"/>
                    </w:rPr>
                    <w:t>).  If it fails this test it is not a SME.</w:t>
                  </w:r>
                </w:p>
              </w:txbxContent>
            </v:textbox>
          </v:shape>
        </w:pict>
      </w:r>
    </w:p>
    <w:sectPr w:rsidR="007F651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10" w:rsidRDefault="007F6510">
      <w:r>
        <w:separator/>
      </w:r>
    </w:p>
  </w:endnote>
  <w:endnote w:type="continuationSeparator" w:id="0">
    <w:p w:rsidR="007F6510" w:rsidRDefault="007F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10" w:rsidRDefault="007F6510">
      <w:r>
        <w:separator/>
      </w:r>
    </w:p>
  </w:footnote>
  <w:footnote w:type="continuationSeparator" w:id="0">
    <w:p w:rsidR="007F6510" w:rsidRDefault="007F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510"/>
    <w:rsid w:val="001954A4"/>
    <w:rsid w:val="007F6510"/>
    <w:rsid w:val="00F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417866-53FF-4E09-A2B9-D982564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olor w:val="00808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[attached/following] flowchart will help determine whether an enterprise falls within the definition of a micro, small or medium-sized enterprise as defined by European Commission Recommendation 2003/361/EC (CIRD91300)</vt:lpstr>
    </vt:vector>
  </TitlesOfParts>
  <Company>Inland Revenue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[attached/following] flowchart will help determine whether an enterprise falls within the definition of a micro, small or medium-sized enterprise as defined by European Commission Recommendation 2003/361/EC (CIRD91300)</dc:title>
  <dc:subject/>
  <dc:creator>Mark Carnduff</dc:creator>
  <cp:keywords/>
  <dc:description/>
  <cp:lastModifiedBy>Chris Toms</cp:lastModifiedBy>
  <cp:revision>2</cp:revision>
  <cp:lastPrinted>2004-06-25T12:12:00Z</cp:lastPrinted>
  <dcterms:created xsi:type="dcterms:W3CDTF">2017-06-19T13:37:00Z</dcterms:created>
  <dcterms:modified xsi:type="dcterms:W3CDTF">2017-06-19T13:37:00Z</dcterms:modified>
</cp:coreProperties>
</file>